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关于2024年度甘肃省科技进步奖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拟提名项目的公示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根据《关于2024年度甘肃省科学技术奖提名工作的通知》（甘科成函〔2024〕49号）要求，现将甘肃省残疾人联合会拟提名申报的2024年度甘肃省科学技术奖项目信息予以公示：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  <w:t>一、项目名称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《骨质疏松症康复指南的研发与应用》。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  <w:t>二、申报奖种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省科技进步奖（社会公益类）。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  <w:t>三、完成单位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甘肃省康复中心医院。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  <w:t>四、完成人排序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王忠太  石秀娥  杨克虎  张志强  曾异花  袁  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陈  丁  蒋雨珊  马佳玲  淡  婧  崔腾香  李素琴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黄朝荣  韩灵善  赵  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  <w:t>五、项目简介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（一）项目所属科学技术领域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该项目属于临床医学内分泌专业和康复医学的交叉学科范畴。制定的《骨质疏松症康复指南》是一部指导临床医师、康复医师、康复治疗师和指引骨质疏松症患者规范诊疗的指导性文件。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（二）主要技术内容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按照循证指南制定的方法与步骤制定指南。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项目组由指导委员会、共识专家组和制定小组以及外审组构成。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技术路径：构建临床问题及选择结局指标→收集证据→ 证据质量评价与分级→形成推荐意见并达成共识→推荐意见的外审及批准→指南的撰写、发布与更新→传播、实施与评价。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（三）授权专利情况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由中国康复医学会发起，中国康复医学会康复治疗专业委员会、甘肃省康复医学会、甘肃省残疾人康复学会、兰州大学循证医学中心参与，中国GRADE中心提供方法学支持，甘肃省康复中心医院承担具体编写任务。在医学实践指南注册平台进行注册（注册号IPGRP-2019CN027）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（四）技术经济指标及应用推广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指南以特约稿的形式发表于《中国康复医学杂志》2019年第11、12期。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指南发表后，通过多次国际国内学术会及医学专业组织微信群宣传推广，让受众了解指南、熟悉指南、让医务工作者运用指南指导骨质疏松症患者的康复实践。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（五）效益评价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《骨质疏松症康复指南》临床适用性研究发表于《中国康复医学杂志》2024年第7期。骨质疏松症康复指南的临床适用性调查结果显示，骨质疏松症康复指南的整体适用性较好。临床医生普遍认同并愿意参考指南的推荐意见开展工作。截止目前，按照CNKI、万方和维普网络平台统计，本指南累计被引用154次。累计通过CNKI和万方网络平台下载7421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  <w:t>六、完成人对项目主要贡献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详见附件1。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  <w:t>七、所列知识产权目录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详见附件2。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  <w:t>八、非连续申报证明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详见附件3。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国标黑体" w:hAnsi="国标黑体" w:eastAsia="国标黑体" w:cs="国标黑体"/>
          <w:b w:val="0"/>
          <w:bCs w:val="0"/>
          <w:sz w:val="32"/>
          <w:szCs w:val="32"/>
          <w:lang w:val="en-US" w:eastAsia="zh-CN"/>
        </w:rPr>
        <w:t>九、知情同意书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详见附件4。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为充分发扬民主、广泛听取意见、接受社会监督，现将拟推荐对象予以公示。公示时间：2024年11月16日至11月20日（5个自然日）。公示期内，如对拟提名项目有异议，可通过电话、传真、信函等形式向省残联反映情况（信函以到达日邮戳为准）。反映情况须客观真实，以单位名义反映情况的材料需加盖公章，以个人名义反映情况的材料应提供真实姓名、工作单位和联系方式，以利于调查核实和反馈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受理部门及联系方式：省残联人事处 0931-8412481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通讯地址：兰州市城关区民主西路168号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 xml:space="preserve">邮政编码：730030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附件：1.完成人对项目主要贡献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所列知识产权目录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非连续申报证明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知情同意书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320" w:firstLineChars="10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                           甘肃省残疾人联合会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2024年11月15日</w:t>
      </w:r>
    </w:p>
    <w:p>
      <w:pPr>
        <w:numPr>
          <w:ilvl w:val="0"/>
          <w:numId w:val="0"/>
        </w:numPr>
        <w:ind w:firstLine="5760" w:firstLineChars="180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5760" w:firstLineChars="180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5760" w:firstLineChars="180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5760" w:firstLineChars="180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国标黑体" w:hAnsi="国标黑体" w:eastAsia="国标黑体" w:cs="国标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国标黑体" w:hAnsi="国标黑体" w:eastAsia="国标黑体" w:cs="国标黑体"/>
          <w:b w:val="0"/>
          <w:bCs w:val="0"/>
          <w:sz w:val="30"/>
          <w:szCs w:val="30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完成人对项目主要贡献</w:t>
      </w:r>
    </w:p>
    <w:p>
      <w:pPr>
        <w:numPr>
          <w:ilvl w:val="0"/>
          <w:numId w:val="0"/>
        </w:numPr>
        <w:ind w:firstLine="5760" w:firstLineChars="180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</w:p>
    <w:tbl>
      <w:tblPr>
        <w:tblStyle w:val="4"/>
        <w:tblpPr w:leftFromText="180" w:rightFromText="180" w:vertAnchor="page" w:horzAnchor="page" w:tblpX="1661" w:tblpY="331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"/>
        <w:gridCol w:w="1038"/>
        <w:gridCol w:w="66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80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0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667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lang w:val="en-US" w:eastAsia="zh-CN"/>
              </w:rPr>
              <w:t>对项目主要贡献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王忠太</w:t>
            </w:r>
          </w:p>
        </w:tc>
        <w:tc>
          <w:tcPr>
            <w:tcW w:w="667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</w:rPr>
              <w:t>项目负责人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  <w:lang w:val="en-US" w:eastAsia="zh-CN"/>
              </w:rPr>
              <w:t>填报项目任务书，管理指南工作小组、组织指南撰写、联系论证专家组，组织专家论证会，沟通出版社，组织指南初稿的反复修改完善，对接指南出版。通过学术会议宣讲解读指南，通过专业微信群推广、传播指南。设计调查问卷，组织问卷发放、回收、分析及调查报告的撰写，撰写项目科技报告、验收申请、结题报告。联系科技厅相关部门完成项目结题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石秀娥</w:t>
            </w:r>
          </w:p>
        </w:tc>
        <w:tc>
          <w:tcPr>
            <w:tcW w:w="667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  <w:lang w:val="en-US" w:eastAsia="zh-CN"/>
              </w:rPr>
              <w:t>联系中国康复医学会领取制定指南任务，沟通兰州大学循证医学中心组建指南制订工作组，联系中国康复医学会相关领域专家，组建指南指导小组、论证专家组、外审专家组等。沟通地方医学会争取项目支持。指导组建专业咨询专家团队，主持召开专家论证会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杨克虎</w:t>
            </w:r>
          </w:p>
        </w:tc>
        <w:tc>
          <w:tcPr>
            <w:tcW w:w="667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  <w:lang w:val="en-US" w:eastAsia="zh-CN"/>
              </w:rPr>
              <w:t>构建指南规范模式，对指南工作组人员进行统一方法学培训，提供方法学指导、咨询。指导指南注册。协助组建指南工作小组。每日召开指南工作组日例会，总体掌控指南工作组工作质量。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0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张志强</w:t>
            </w:r>
          </w:p>
        </w:tc>
        <w:tc>
          <w:tcPr>
            <w:tcW w:w="667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</w:rPr>
              <w:t>检索、整理文献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  <w:lang w:val="en-US" w:eastAsia="zh-CN"/>
              </w:rPr>
              <w:t>制作指南相关部分证据，协助撰写指南，协助完善指南初稿的完善修改，协助设计、发放调查问卷、协助分析问卷数据，协助完善科技报告及调研报告。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0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曾异花</w:t>
            </w:r>
          </w:p>
        </w:tc>
        <w:tc>
          <w:tcPr>
            <w:tcW w:w="667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</w:rPr>
              <w:t>检索、整理文献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  <w:lang w:val="en-US" w:eastAsia="zh-CN"/>
              </w:rPr>
              <w:t>制作指南相关部分证据，协助撰写指南，协助完善指南初稿的完善修改，协助设计、发放调查问卷。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0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袁  涛</w:t>
            </w:r>
          </w:p>
        </w:tc>
        <w:tc>
          <w:tcPr>
            <w:tcW w:w="667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</w:rPr>
              <w:t>方法学指导、制定检索策略检索、整理文献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0"/>
                <w:szCs w:val="22"/>
                <w:vertAlign w:val="baseline"/>
                <w:lang w:val="en-US" w:eastAsia="zh-CN"/>
              </w:rPr>
              <w:t>制作指南相关部分证据，撰写指南初稿，协助完善指南初稿的完善修改，协助制作指南宣传课件资料。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0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陈  丁</w:t>
            </w:r>
          </w:p>
        </w:tc>
        <w:tc>
          <w:tcPr>
            <w:tcW w:w="6677" w:type="dxa"/>
          </w:tcPr>
          <w:p>
            <w:pPr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vertAlign w:val="baseline"/>
                <w:lang w:eastAsia="zh-CN"/>
              </w:rPr>
              <w:t>检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</w:rPr>
              <w:t>索、整理文献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val="en-US" w:eastAsia="zh-CN"/>
              </w:rPr>
              <w:t>制作指南相关部分证据，协助撰写指南，协助完善指南初稿的完善修改。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0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蒋雨珊</w:t>
            </w:r>
          </w:p>
        </w:tc>
        <w:tc>
          <w:tcPr>
            <w:tcW w:w="6677" w:type="dxa"/>
          </w:tcPr>
          <w:p>
            <w:pPr>
              <w:rPr>
                <w:rFonts w:hint="eastAsia" w:ascii="宋体" w:hAnsi="宋体" w:eastAsia="宋体" w:cs="宋体"/>
                <w:color w:val="auto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vertAlign w:val="baseline"/>
              </w:rPr>
              <w:t>项目服务、协助管理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val="en-US" w:eastAsia="zh-CN"/>
              </w:rPr>
              <w:t>指南工作小组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val="en-US" w:eastAsia="zh-CN"/>
              </w:rPr>
              <w:t>联系论证专家组，组织专家论证会，沟通地方医学会争取项目支持。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0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马佳玲</w:t>
            </w:r>
          </w:p>
        </w:tc>
        <w:tc>
          <w:tcPr>
            <w:tcW w:w="667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rPr>
                <w:rFonts w:hint="eastAsia" w:ascii="宋体" w:hAnsi="宋体" w:eastAsia="宋体" w:cs="宋体"/>
                <w:color w:val="auto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vertAlign w:val="baseline"/>
              </w:rPr>
              <w:t>整理文献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val="en-US" w:eastAsia="zh-CN"/>
              </w:rPr>
              <w:t>发放、回收调查问卷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0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淡  婧</w:t>
            </w:r>
          </w:p>
        </w:tc>
        <w:tc>
          <w:tcPr>
            <w:tcW w:w="667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vertAlign w:val="baseline"/>
              </w:rPr>
              <w:t>整理文献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val="en-US" w:eastAsia="zh-CN"/>
              </w:rPr>
              <w:t>发放、回收调查问卷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0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崔腾香</w:t>
            </w:r>
          </w:p>
        </w:tc>
        <w:tc>
          <w:tcPr>
            <w:tcW w:w="667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vertAlign w:val="baseline"/>
              </w:rPr>
              <w:t>整理文献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val="en-US" w:eastAsia="zh-CN"/>
              </w:rPr>
              <w:t>发放、回收调查问卷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0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李素琴</w:t>
            </w:r>
          </w:p>
        </w:tc>
        <w:tc>
          <w:tcPr>
            <w:tcW w:w="667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vertAlign w:val="baseline"/>
              </w:rPr>
              <w:t>整理文献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val="en-US" w:eastAsia="zh-CN"/>
              </w:rPr>
              <w:t>发放、回收调查问卷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0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黄朝荣</w:t>
            </w:r>
          </w:p>
        </w:tc>
        <w:tc>
          <w:tcPr>
            <w:tcW w:w="667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vertAlign w:val="baseline"/>
              </w:rPr>
              <w:t>收集整理资料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val="en-US" w:eastAsia="zh-CN"/>
              </w:rPr>
              <w:t>协助服务指南工作组，提供专业咨询，发放、回收调查问卷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0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韩灵善</w:t>
            </w:r>
          </w:p>
        </w:tc>
        <w:tc>
          <w:tcPr>
            <w:tcW w:w="667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vertAlign w:val="baseline"/>
              </w:rPr>
              <w:t>整理文献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vertAlign w:val="baseline"/>
                <w:lang w:val="en-US" w:eastAsia="zh-CN"/>
              </w:rPr>
              <w:t>发放、回收调查问卷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0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  辉</w:t>
            </w:r>
          </w:p>
        </w:tc>
        <w:tc>
          <w:tcPr>
            <w:tcW w:w="667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问卷的发放、回收</w:t>
            </w:r>
            <w:r>
              <w:rPr>
                <w:rFonts w:hint="eastAsia"/>
                <w:vertAlign w:val="baseline"/>
                <w:lang w:eastAsia="zh-CN"/>
              </w:rPr>
              <w:t>，</w:t>
            </w:r>
            <w:r>
              <w:rPr>
                <w:rFonts w:hint="eastAsia"/>
                <w:vertAlign w:val="baseline"/>
                <w:lang w:val="en-US" w:eastAsia="zh-CN"/>
              </w:rPr>
              <w:t>协助处理分析调查问卷</w:t>
            </w:r>
            <w:r>
              <w:rPr>
                <w:rFonts w:hint="eastAsia"/>
                <w:vertAlign w:val="baseline"/>
              </w:rPr>
              <w:t>数据等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eastAsia" w:ascii="国标黑体" w:hAnsi="国标黑体" w:eastAsia="国标黑体" w:cs="国标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国标黑体" w:hAnsi="国标黑体" w:eastAsia="国标黑体" w:cs="国标黑体"/>
          <w:b w:val="0"/>
          <w:bCs w:val="0"/>
          <w:sz w:val="28"/>
          <w:szCs w:val="28"/>
          <w:lang w:val="en-US" w:eastAsia="zh-CN"/>
        </w:rPr>
        <w:t>附件2</w:t>
      </w:r>
    </w:p>
    <w:p>
      <w:pPr>
        <w:numPr>
          <w:ilvl w:val="0"/>
          <w:numId w:val="0"/>
        </w:numPr>
        <w:ind w:left="-190" w:leftChars="-495" w:hanging="849" w:hangingChars="236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所列知识产权目录</w:t>
      </w:r>
      <w:r>
        <w:drawing>
          <wp:inline distT="0" distB="0" distL="114300" distR="114300">
            <wp:extent cx="7473950" cy="5031105"/>
            <wp:effectExtent l="0" t="0" r="17145" b="12700"/>
            <wp:docPr id="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3950" cy="50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国标黑体" w:hAnsi="国标黑体" w:eastAsia="国标黑体" w:cs="国标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国标黑体" w:hAnsi="国标黑体" w:eastAsia="国标黑体" w:cs="国标黑体"/>
          <w:b w:val="0"/>
          <w:bCs w:val="0"/>
          <w:sz w:val="30"/>
          <w:szCs w:val="30"/>
          <w:lang w:val="en-US" w:eastAsia="zh-CN"/>
        </w:rPr>
        <w:t>附件3</w:t>
      </w:r>
    </w:p>
    <w:p>
      <w:pPr>
        <w:numPr>
          <w:ilvl w:val="0"/>
          <w:numId w:val="0"/>
        </w:numPr>
        <w:ind w:left="-599" w:leftChars="-294" w:hanging="18" w:firstLineChars="0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非连续申报证明</w:t>
      </w:r>
      <w:r>
        <w:drawing>
          <wp:inline distT="0" distB="0" distL="114300" distR="114300">
            <wp:extent cx="5869940" cy="6028055"/>
            <wp:effectExtent l="0" t="0" r="16510" b="0"/>
            <wp:docPr id="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rcRect l="-573" t="12161" r="573" b="-9309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60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国标黑体" w:hAnsi="国标黑体" w:eastAsia="国标黑体" w:cs="国标黑体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国标黑体" w:hAnsi="国标黑体" w:eastAsia="国标黑体" w:cs="国标黑体"/>
          <w:b w:val="0"/>
          <w:bCs w:val="0"/>
          <w:sz w:val="30"/>
          <w:szCs w:val="30"/>
          <w:lang w:val="en-US" w:eastAsia="zh-CN"/>
        </w:rPr>
        <w:t>附件4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 xml:space="preserve">     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知情同意书</w:t>
      </w:r>
    </w:p>
    <w:p>
      <w:pPr>
        <w:numPr>
          <w:ilvl w:val="0"/>
          <w:numId w:val="0"/>
        </w:numPr>
        <w:ind w:left="-1279" w:leftChars="-799" w:hanging="399" w:hangingChars="190"/>
        <w:jc w:val="center"/>
      </w:pP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4977130" cy="4936490"/>
            <wp:effectExtent l="0" t="0" r="13970" b="16510"/>
            <wp:docPr id="3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true"/>
                    </pic:cNvPicPr>
                  </pic:nvPicPr>
                  <pic:blipFill>
                    <a:blip r:embed="rId6"/>
                    <a:srcRect t="13285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493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br w:type="page"/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知情同意书</w:t>
      </w:r>
    </w:p>
    <w:p>
      <w:pPr>
        <w:numPr>
          <w:ilvl w:val="0"/>
          <w:numId w:val="0"/>
        </w:numPr>
        <w:ind w:left="0" w:leftChars="-400" w:hanging="840" w:hangingChars="400"/>
        <w:jc w:val="center"/>
      </w:pPr>
      <w:r>
        <w:drawing>
          <wp:inline distT="0" distB="0" distL="114300" distR="114300">
            <wp:extent cx="5417185" cy="5423535"/>
            <wp:effectExtent l="0" t="0" r="12065" b="5715"/>
            <wp:docPr id="4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true"/>
                    </pic:cNvPicPr>
                  </pic:nvPicPr>
                  <pic:blipFill>
                    <a:blip r:embed="rId7"/>
                    <a:srcRect t="14218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br w:type="page"/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知情同意书</w:t>
      </w:r>
    </w:p>
    <w:p>
      <w:pPr>
        <w:numPr>
          <w:ilvl w:val="0"/>
          <w:numId w:val="0"/>
        </w:numPr>
        <w:ind w:left="0" w:leftChars="-400" w:hanging="840" w:hangingChars="400"/>
        <w:jc w:val="center"/>
      </w:pPr>
      <w:r>
        <w:drawing>
          <wp:inline distT="0" distB="0" distL="114300" distR="114300">
            <wp:extent cx="5670550" cy="5448935"/>
            <wp:effectExtent l="0" t="0" r="6350" b="18415"/>
            <wp:docPr id="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true"/>
                    </pic:cNvPicPr>
                  </pic:nvPicPr>
                  <pic:blipFill>
                    <a:blip r:embed="rId8"/>
                    <a:srcRect t="16491" r="7910" b="-88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984" w:right="1587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国标黑体">
    <w:panose1 w:val="02000500000000000000"/>
    <w:charset w:val="86"/>
    <w:family w:val="auto"/>
    <w:pitch w:val="default"/>
    <w:sig w:usb0="00000001" w:usb1="08000000" w:usb2="00000000" w:usb3="00000000" w:csb0="00060007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54BF72"/>
    <w:multiLevelType w:val="singleLevel"/>
    <w:tmpl w:val="1654BF7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0OWFjODgwYmY1YjkwMjNhZWVjZTM2ZmVjMjc0ZjEifQ=="/>
  </w:docVars>
  <w:rsids>
    <w:rsidRoot w:val="00000000"/>
    <w:rsid w:val="0F8C756D"/>
    <w:rsid w:val="105F0CFC"/>
    <w:rsid w:val="192C0FBB"/>
    <w:rsid w:val="1F93177C"/>
    <w:rsid w:val="60464805"/>
    <w:rsid w:val="9D4B5CFF"/>
    <w:rsid w:val="EB83A8DE"/>
    <w:rsid w:val="FB3B3DD2"/>
    <w:rsid w:val="FFDF8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2030</Words>
  <Characters>2118</Characters>
  <Lines>0</Lines>
  <Paragraphs>0</Paragraphs>
  <TotalTime>141</TotalTime>
  <ScaleCrop>false</ScaleCrop>
  <LinksUpToDate>false</LinksUpToDate>
  <CharactersWithSpaces>2213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2024-11-08T00:40:00Z</dcterms:created>
  <dc:creator>Administrator</dc:creator>
  <cp:lastModifiedBy>uos</cp:lastModifiedBy>
  <cp:lastPrinted>2024-11-15T04:18:00Z</cp:lastPrinted>
  <dcterms:modified xsi:type="dcterms:W3CDTF">2024-11-15T08:27:11Z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A770ED296C8E458D98E65DD009A9C45A_13</vt:lpwstr>
  </property>
</Properties>
</file>